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15585" w:type="dxa"/>
        <w:tblInd w:w="0" w:type="dxa"/>
        <w:shd w:val="clear"/>
        <w:tblLayout w:type="fixed"/>
        <w:tblCellMar>
          <w:top w:w="0" w:type="dxa"/>
          <w:left w:w="0" w:type="dxa"/>
          <w:bottom w:w="0" w:type="dxa"/>
          <w:right w:w="0" w:type="dxa"/>
        </w:tblCellMar>
      </w:tblPr>
      <w:tblGrid>
        <w:gridCol w:w="765"/>
        <w:gridCol w:w="1795"/>
        <w:gridCol w:w="7280"/>
        <w:gridCol w:w="5745"/>
      </w:tblGrid>
      <w:tr>
        <w:tblPrEx>
          <w:shd w:val="clear"/>
          <w:tblLayout w:type="fixed"/>
          <w:tblCellMar>
            <w:top w:w="0" w:type="dxa"/>
            <w:left w:w="0" w:type="dxa"/>
            <w:bottom w:w="0" w:type="dxa"/>
            <w:right w:w="0"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jc w:val="left"/>
              <w:textAlignment w:val="bottom"/>
              <w:rPr>
                <w:rFonts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NO</w:t>
            </w:r>
          </w:p>
        </w:tc>
        <w:tc>
          <w:tcPr>
            <w:tcW w:w="9075" w:type="dxa"/>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质量要求</w:t>
            </w:r>
          </w:p>
        </w:tc>
        <w:tc>
          <w:tcPr>
            <w:tcW w:w="574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jc w:val="left"/>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需供应商提供的资料或证明材料</w:t>
            </w:r>
          </w:p>
        </w:tc>
      </w:tr>
      <w:tr>
        <w:tblPrEx>
          <w:tblLayout w:type="fixed"/>
          <w:tblCellMar>
            <w:top w:w="0" w:type="dxa"/>
            <w:left w:w="0" w:type="dxa"/>
            <w:bottom w:w="0" w:type="dxa"/>
            <w:right w:w="0" w:type="dxa"/>
          </w:tblCellMar>
        </w:tblPrEx>
        <w:trPr>
          <w:trHeight w:val="1200" w:hRule="atLeast"/>
        </w:trPr>
        <w:tc>
          <w:tcPr>
            <w:tcW w:w="76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1</w:t>
            </w:r>
          </w:p>
        </w:tc>
        <w:tc>
          <w:tcPr>
            <w:tcW w:w="179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质量体系要求</w:t>
            </w:r>
          </w:p>
        </w:tc>
        <w:tc>
          <w:tcPr>
            <w:tcW w:w="728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关键件&amp;重要件通过IATF16949质量管理体系认证；</w:t>
            </w:r>
            <w:r>
              <w:rPr>
                <w:rFonts w:hint="eastAsia" w:ascii="等线" w:hAnsi="等线" w:eastAsia="等线" w:cs="等线"/>
                <w:i w:val="0"/>
                <w:color w:val="000000"/>
                <w:kern w:val="0"/>
                <w:sz w:val="22"/>
                <w:szCs w:val="22"/>
                <w:u w:val="none"/>
                <w:bdr w:val="none" w:color="auto" w:sz="0" w:space="0"/>
                <w:lang w:val="en-US" w:eastAsia="zh-CN" w:bidi="ar"/>
              </w:rPr>
              <w:br w:type="textWrapping"/>
            </w:r>
            <w:r>
              <w:rPr>
                <w:rFonts w:hint="eastAsia" w:ascii="等线" w:hAnsi="等线" w:eastAsia="等线" w:cs="等线"/>
                <w:i w:val="0"/>
                <w:color w:val="000000"/>
                <w:kern w:val="0"/>
                <w:sz w:val="22"/>
                <w:szCs w:val="22"/>
                <w:u w:val="none"/>
                <w:bdr w:val="none" w:color="auto" w:sz="0" w:space="0"/>
                <w:lang w:val="en-US" w:eastAsia="zh-CN" w:bidi="ar"/>
              </w:rPr>
              <w:t>爆胎应急属于重要件；</w:t>
            </w:r>
            <w:r>
              <w:rPr>
                <w:rFonts w:hint="eastAsia" w:ascii="等线" w:hAnsi="等线" w:eastAsia="等线" w:cs="等线"/>
                <w:i w:val="0"/>
                <w:color w:val="000000"/>
                <w:kern w:val="0"/>
                <w:sz w:val="22"/>
                <w:szCs w:val="22"/>
                <w:u w:val="none"/>
                <w:bdr w:val="none" w:color="auto" w:sz="0" w:space="0"/>
                <w:lang w:val="en-US" w:eastAsia="zh-CN" w:bidi="ar"/>
              </w:rPr>
              <w:br w:type="textWrapping"/>
            </w:r>
            <w:r>
              <w:rPr>
                <w:rFonts w:hint="eastAsia" w:ascii="等线" w:hAnsi="等线" w:eastAsia="等线" w:cs="等线"/>
                <w:i w:val="0"/>
                <w:color w:val="000000"/>
                <w:kern w:val="0"/>
                <w:sz w:val="22"/>
                <w:szCs w:val="22"/>
                <w:u w:val="none"/>
                <w:bdr w:val="none" w:color="auto" w:sz="0" w:space="0"/>
                <w:lang w:val="en-US" w:eastAsia="zh-CN" w:bidi="ar"/>
              </w:rPr>
              <w:t>必须通过 IATF16949 认证，证书范围须覆盖 "爆胎应急装置"，证书在有效期内、无暂停 / 撤销；</w:t>
            </w:r>
          </w:p>
        </w:tc>
        <w:tc>
          <w:tcPr>
            <w:tcW w:w="574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提供IATF16949质量管理体系证书</w:t>
            </w:r>
          </w:p>
        </w:tc>
      </w:tr>
      <w:tr>
        <w:tblPrEx>
          <w:tblLayout w:type="fixed"/>
          <w:tblCellMar>
            <w:top w:w="0" w:type="dxa"/>
            <w:left w:w="0" w:type="dxa"/>
            <w:bottom w:w="0" w:type="dxa"/>
            <w:right w:w="0" w:type="dxa"/>
          </w:tblCellMar>
        </w:tblPrEx>
        <w:trPr>
          <w:trHeight w:val="1140" w:hRule="atLeast"/>
        </w:trPr>
        <w:tc>
          <w:tcPr>
            <w:tcW w:w="765" w:type="dxa"/>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2</w:t>
            </w:r>
          </w:p>
        </w:tc>
        <w:tc>
          <w:tcPr>
            <w:tcW w:w="1795" w:type="dxa"/>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产品检测</w:t>
            </w:r>
          </w:p>
        </w:tc>
        <w:tc>
          <w:tcPr>
            <w:tcW w:w="728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拟供件通过第三方检测报告(有效期在近3年内)，其中包含相关的重要结构、功能、型式试验项目：</w:t>
            </w:r>
            <w:r>
              <w:rPr>
                <w:rFonts w:hint="eastAsia" w:ascii="等线" w:hAnsi="等线" w:eastAsia="等线" w:cs="等线"/>
                <w:i w:val="0"/>
                <w:color w:val="000000"/>
                <w:kern w:val="0"/>
                <w:sz w:val="22"/>
                <w:szCs w:val="22"/>
                <w:u w:val="none"/>
                <w:bdr w:val="none" w:color="auto" w:sz="0" w:space="0"/>
                <w:lang w:val="en-US" w:eastAsia="zh-CN" w:bidi="ar"/>
              </w:rPr>
              <w:br w:type="textWrapping"/>
            </w:r>
            <w:r>
              <w:rPr>
                <w:rFonts w:hint="eastAsia" w:ascii="等线" w:hAnsi="等线" w:eastAsia="等线" w:cs="等线"/>
                <w:i w:val="0"/>
                <w:color w:val="000000"/>
                <w:kern w:val="0"/>
                <w:sz w:val="22"/>
                <w:szCs w:val="22"/>
                <w:u w:val="none"/>
                <w:bdr w:val="none" w:color="auto" w:sz="0" w:space="0"/>
                <w:lang w:val="en-US" w:eastAsia="zh-CN" w:bidi="ar"/>
              </w:rPr>
              <w:t>GB∕T 38796 汽车爆胎应急安全装置性能要求和试验方法；</w:t>
            </w:r>
            <w:r>
              <w:rPr>
                <w:rFonts w:hint="eastAsia" w:ascii="等线" w:hAnsi="等线" w:eastAsia="等线" w:cs="等线"/>
                <w:i w:val="0"/>
                <w:color w:val="000000"/>
                <w:kern w:val="0"/>
                <w:sz w:val="22"/>
                <w:szCs w:val="22"/>
                <w:u w:val="none"/>
                <w:bdr w:val="none" w:color="auto" w:sz="0" w:space="0"/>
                <w:lang w:val="en-US" w:eastAsia="zh-CN" w:bidi="ar"/>
              </w:rPr>
              <w:br w:type="textWrapping"/>
            </w:r>
            <w:r>
              <w:rPr>
                <w:rFonts w:hint="eastAsia" w:ascii="等线" w:hAnsi="等线" w:eastAsia="等线" w:cs="等线"/>
                <w:i w:val="0"/>
                <w:color w:val="000000"/>
                <w:kern w:val="0"/>
                <w:sz w:val="22"/>
                <w:szCs w:val="22"/>
                <w:u w:val="none"/>
                <w:bdr w:val="none" w:color="auto" w:sz="0" w:space="0"/>
                <w:lang w:val="en-US" w:eastAsia="zh-CN" w:bidi="ar"/>
              </w:rPr>
              <w:t>JTT 782 营运车辆爆胎应急安全装置技术要求和试验方法；</w:t>
            </w:r>
          </w:p>
        </w:tc>
        <w:tc>
          <w:tcPr>
            <w:tcW w:w="574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提供招标件或同类件的第三方检测报告</w:t>
            </w:r>
          </w:p>
        </w:tc>
      </w:tr>
      <w:tr>
        <w:tblPrEx>
          <w:tblLayout w:type="fixed"/>
          <w:tblCellMar>
            <w:top w:w="0" w:type="dxa"/>
            <w:left w:w="0" w:type="dxa"/>
            <w:bottom w:w="0" w:type="dxa"/>
            <w:right w:w="0" w:type="dxa"/>
          </w:tblCellMar>
        </w:tblPrEx>
        <w:trPr>
          <w:trHeight w:val="1425" w:hRule="atLeast"/>
        </w:trPr>
        <w:tc>
          <w:tcPr>
            <w:tcW w:w="76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3</w:t>
            </w:r>
          </w:p>
        </w:tc>
        <w:tc>
          <w:tcPr>
            <w:tcW w:w="179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产品开发质量要求</w:t>
            </w:r>
          </w:p>
        </w:tc>
        <w:tc>
          <w:tcPr>
            <w:tcW w:w="728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要求供应商按照国际汽车行业质量管理体系要求，建立符合IATF16949质量体系，在量产批准后向金龙提交中标零部件的《生产一致性控制计划，并按《生产一致性控制计划》要求执行生产过程人机料法环的控制按策划开展日常检验及定期性能检测，对于发现问题及时响应，持续改进，实现量产产品与PPAP批准产品质量水平一致。</w:t>
            </w:r>
          </w:p>
        </w:tc>
        <w:tc>
          <w:tcPr>
            <w:tcW w:w="574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提供招标件或同类件的开发先期质量策划方案APQP</w:t>
            </w:r>
          </w:p>
        </w:tc>
      </w:tr>
      <w:tr>
        <w:tblPrEx>
          <w:shd w:val="clear"/>
          <w:tblLayout w:type="fixed"/>
          <w:tblCellMar>
            <w:top w:w="0" w:type="dxa"/>
            <w:left w:w="0" w:type="dxa"/>
            <w:bottom w:w="0" w:type="dxa"/>
            <w:right w:w="0" w:type="dxa"/>
          </w:tblCellMar>
        </w:tblPrEx>
        <w:trPr>
          <w:trHeight w:val="285" w:hRule="atLeast"/>
        </w:trPr>
        <w:tc>
          <w:tcPr>
            <w:tcW w:w="76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4</w:t>
            </w:r>
          </w:p>
        </w:tc>
        <w:tc>
          <w:tcPr>
            <w:tcW w:w="179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一致性质量要求</w:t>
            </w:r>
          </w:p>
        </w:tc>
        <w:tc>
          <w:tcPr>
            <w:tcW w:w="728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制定材料进厂检验检验规范及抽样要求，并严格按照规范执行</w:t>
            </w:r>
          </w:p>
        </w:tc>
        <w:tc>
          <w:tcPr>
            <w:tcW w:w="574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提供招标件或同类件的一致性控制计划；</w:t>
            </w:r>
            <w:r>
              <w:rPr>
                <w:rFonts w:hint="eastAsia" w:ascii="等线" w:hAnsi="等线" w:eastAsia="等线" w:cs="等线"/>
                <w:i w:val="0"/>
                <w:color w:val="000000"/>
                <w:kern w:val="0"/>
                <w:sz w:val="22"/>
                <w:szCs w:val="22"/>
                <w:u w:val="none"/>
                <w:bdr w:val="none" w:color="auto" w:sz="0" w:space="0"/>
                <w:lang w:val="en-US" w:eastAsia="zh-CN" w:bidi="ar"/>
              </w:rPr>
              <w:br w:type="textWrapping"/>
            </w:r>
            <w:r>
              <w:rPr>
                <w:rFonts w:hint="eastAsia" w:ascii="等线" w:hAnsi="等线" w:eastAsia="等线" w:cs="等线"/>
                <w:i w:val="0"/>
                <w:color w:val="000000"/>
                <w:kern w:val="0"/>
                <w:sz w:val="22"/>
                <w:szCs w:val="22"/>
                <w:u w:val="none"/>
                <w:bdr w:val="none" w:color="auto" w:sz="0" w:space="0"/>
                <w:lang w:val="en-US" w:eastAsia="zh-CN" w:bidi="ar"/>
              </w:rPr>
              <w:t>提供招标件或同类件的关键特性清单及相应的检测设备、检测手段、检测方法（SPC\MSA）；</w:t>
            </w:r>
            <w:r>
              <w:rPr>
                <w:rFonts w:hint="eastAsia" w:ascii="等线" w:hAnsi="等线" w:eastAsia="等线" w:cs="等线"/>
                <w:i w:val="0"/>
                <w:color w:val="000000"/>
                <w:kern w:val="0"/>
                <w:sz w:val="22"/>
                <w:szCs w:val="22"/>
                <w:u w:val="none"/>
                <w:bdr w:val="none" w:color="auto" w:sz="0" w:space="0"/>
                <w:lang w:val="en-US" w:eastAsia="zh-CN" w:bidi="ar"/>
              </w:rPr>
              <w:br w:type="textWrapping"/>
            </w:r>
            <w:r>
              <w:rPr>
                <w:rFonts w:hint="eastAsia" w:ascii="等线" w:hAnsi="等线" w:eastAsia="等线" w:cs="等线"/>
                <w:i w:val="0"/>
                <w:color w:val="000000"/>
                <w:kern w:val="0"/>
                <w:sz w:val="22"/>
                <w:szCs w:val="22"/>
                <w:u w:val="none"/>
                <w:bdr w:val="none" w:color="auto" w:sz="0" w:space="0"/>
                <w:lang w:val="en-US" w:eastAsia="zh-CN" w:bidi="ar"/>
              </w:rPr>
              <w:t>提供招标件或同类件的产品性能试验计划；</w:t>
            </w:r>
          </w:p>
        </w:tc>
      </w:tr>
      <w:tr>
        <w:tblPrEx>
          <w:tblLayout w:type="fixed"/>
          <w:tblCellMar>
            <w:top w:w="0" w:type="dxa"/>
            <w:left w:w="0" w:type="dxa"/>
            <w:bottom w:w="0" w:type="dxa"/>
            <w:right w:w="0" w:type="dxa"/>
          </w:tblCellMar>
        </w:tblPrEx>
        <w:trPr>
          <w:trHeight w:val="570"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等线" w:hAnsi="等线" w:eastAsia="等线" w:cs="等线"/>
                <w:i w:val="0"/>
                <w:color w:val="000000"/>
                <w:sz w:val="22"/>
                <w:szCs w:val="22"/>
                <w:u w:val="none"/>
              </w:rPr>
            </w:pPr>
          </w:p>
        </w:tc>
        <w:tc>
          <w:tcPr>
            <w:tcW w:w="179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等线" w:hAnsi="等线" w:eastAsia="等线" w:cs="等线"/>
                <w:i w:val="0"/>
                <w:color w:val="000000"/>
                <w:sz w:val="22"/>
                <w:szCs w:val="22"/>
                <w:u w:val="none"/>
              </w:rPr>
            </w:pPr>
          </w:p>
        </w:tc>
        <w:tc>
          <w:tcPr>
            <w:tcW w:w="728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对计量器具、检具、试验设备等的校准及检定管理,制定并实施了与计量管理相关的规定；</w:t>
            </w:r>
          </w:p>
        </w:tc>
        <w:tc>
          <w:tcPr>
            <w:tcW w:w="574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等线" w:hAnsi="等线" w:eastAsia="等线" w:cs="等线"/>
                <w:i w:val="0"/>
                <w:color w:val="000000"/>
                <w:sz w:val="22"/>
                <w:szCs w:val="22"/>
                <w:u w:val="none"/>
              </w:rPr>
            </w:pPr>
          </w:p>
        </w:tc>
      </w:tr>
      <w:tr>
        <w:tblPrEx>
          <w:shd w:val="clear"/>
          <w:tblLayout w:type="fixed"/>
          <w:tblCellMar>
            <w:top w:w="0" w:type="dxa"/>
            <w:left w:w="0" w:type="dxa"/>
            <w:bottom w:w="0" w:type="dxa"/>
            <w:right w:w="0" w:type="dxa"/>
          </w:tblCellMar>
        </w:tblPrEx>
        <w:trPr>
          <w:trHeight w:val="855"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等线" w:hAnsi="等线" w:eastAsia="等线" w:cs="等线"/>
                <w:i w:val="0"/>
                <w:color w:val="000000"/>
                <w:sz w:val="22"/>
                <w:szCs w:val="22"/>
                <w:u w:val="none"/>
              </w:rPr>
            </w:pPr>
          </w:p>
        </w:tc>
        <w:tc>
          <w:tcPr>
            <w:tcW w:w="179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等线" w:hAnsi="等线" w:eastAsia="等线" w:cs="等线"/>
                <w:i w:val="0"/>
                <w:color w:val="000000"/>
                <w:sz w:val="22"/>
                <w:szCs w:val="22"/>
                <w:u w:val="none"/>
              </w:rPr>
            </w:pPr>
          </w:p>
        </w:tc>
        <w:tc>
          <w:tcPr>
            <w:tcW w:w="728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对生产过程中影响产品品质的关键参数制定控制计划或QC工程图进行品质预防性管控，且关键参数识别全面、系统性能参数测试方案完整、有效；</w:t>
            </w:r>
          </w:p>
        </w:tc>
        <w:tc>
          <w:tcPr>
            <w:tcW w:w="574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等线" w:hAnsi="等线" w:eastAsia="等线" w:cs="等线"/>
                <w:i w:val="0"/>
                <w:color w:val="000000"/>
                <w:sz w:val="22"/>
                <w:szCs w:val="22"/>
                <w:u w:val="none"/>
              </w:rPr>
            </w:pPr>
          </w:p>
        </w:tc>
      </w:tr>
      <w:tr>
        <w:tblPrEx>
          <w:shd w:val="clear"/>
          <w:tblLayout w:type="fixed"/>
          <w:tblCellMar>
            <w:top w:w="0" w:type="dxa"/>
            <w:left w:w="0" w:type="dxa"/>
            <w:bottom w:w="0" w:type="dxa"/>
            <w:right w:w="0" w:type="dxa"/>
          </w:tblCellMar>
        </w:tblPrEx>
        <w:trPr>
          <w:trHeight w:val="285"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等线" w:hAnsi="等线" w:eastAsia="等线" w:cs="等线"/>
                <w:i w:val="0"/>
                <w:color w:val="000000"/>
                <w:sz w:val="22"/>
                <w:szCs w:val="22"/>
                <w:u w:val="none"/>
              </w:rPr>
            </w:pPr>
          </w:p>
        </w:tc>
        <w:tc>
          <w:tcPr>
            <w:tcW w:w="179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等线" w:hAnsi="等线" w:eastAsia="等线" w:cs="等线"/>
                <w:i w:val="0"/>
                <w:color w:val="000000"/>
                <w:sz w:val="22"/>
                <w:szCs w:val="22"/>
                <w:u w:val="none"/>
              </w:rPr>
            </w:pPr>
          </w:p>
        </w:tc>
        <w:tc>
          <w:tcPr>
            <w:tcW w:w="728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最终产品检验有检验指导书或检验标准，且检验有效</w:t>
            </w:r>
          </w:p>
        </w:tc>
        <w:tc>
          <w:tcPr>
            <w:tcW w:w="574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等线" w:hAnsi="等线" w:eastAsia="等线" w:cs="等线"/>
                <w:i w:val="0"/>
                <w:color w:val="000000"/>
                <w:sz w:val="22"/>
                <w:szCs w:val="22"/>
                <w:u w:val="none"/>
              </w:rPr>
            </w:pPr>
          </w:p>
        </w:tc>
      </w:tr>
      <w:tr>
        <w:tblPrEx>
          <w:shd w:val="clear"/>
          <w:tblLayout w:type="fixed"/>
          <w:tblCellMar>
            <w:top w:w="0" w:type="dxa"/>
            <w:left w:w="0" w:type="dxa"/>
            <w:bottom w:w="0" w:type="dxa"/>
            <w:right w:w="0" w:type="dxa"/>
          </w:tblCellMar>
        </w:tblPrEx>
        <w:trPr>
          <w:trHeight w:val="285" w:hRule="atLeast"/>
        </w:trPr>
        <w:tc>
          <w:tcPr>
            <w:tcW w:w="76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5</w:t>
            </w:r>
          </w:p>
        </w:tc>
        <w:tc>
          <w:tcPr>
            <w:tcW w:w="179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储运运输质量要求</w:t>
            </w:r>
          </w:p>
        </w:tc>
        <w:tc>
          <w:tcPr>
            <w:tcW w:w="728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有储运包装运输规范要求，规范要求是否能确实保护好产品</w:t>
            </w:r>
          </w:p>
        </w:tc>
        <w:tc>
          <w:tcPr>
            <w:tcW w:w="574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提供储运包装运输规范说明</w:t>
            </w:r>
          </w:p>
        </w:tc>
      </w:tr>
      <w:tr>
        <w:tblPrEx>
          <w:shd w:val="clear"/>
          <w:tblLayout w:type="fixed"/>
          <w:tblCellMar>
            <w:top w:w="0" w:type="dxa"/>
            <w:left w:w="0" w:type="dxa"/>
            <w:bottom w:w="0" w:type="dxa"/>
            <w:right w:w="0" w:type="dxa"/>
          </w:tblCellMar>
        </w:tblPrEx>
        <w:trPr>
          <w:trHeight w:val="840" w:hRule="atLeast"/>
        </w:trPr>
        <w:tc>
          <w:tcPr>
            <w:tcW w:w="76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6</w:t>
            </w:r>
          </w:p>
        </w:tc>
        <w:tc>
          <w:tcPr>
            <w:tcW w:w="179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异常管理要求</w:t>
            </w:r>
          </w:p>
        </w:tc>
        <w:tc>
          <w:tcPr>
            <w:tcW w:w="728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制定了对每批次定单从材料到成品的可追溯性管理规定，并保证能与我司的产品追溯系统对接</w:t>
            </w:r>
          </w:p>
        </w:tc>
        <w:tc>
          <w:tcPr>
            <w:tcW w:w="5745"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提供相关供货产品的品质改善管理方案或流程范例，或提供拟招标标的件或同类件的质量整改8D报告1份；</w:t>
            </w:r>
            <w:r>
              <w:rPr>
                <w:rFonts w:hint="eastAsia" w:ascii="等线" w:hAnsi="等线" w:eastAsia="等线" w:cs="等线"/>
                <w:i w:val="0"/>
                <w:color w:val="000000"/>
                <w:kern w:val="0"/>
                <w:sz w:val="22"/>
                <w:szCs w:val="22"/>
                <w:u w:val="none"/>
                <w:bdr w:val="none" w:color="auto" w:sz="0" w:space="0"/>
                <w:lang w:val="en-US" w:eastAsia="zh-CN" w:bidi="ar"/>
              </w:rPr>
              <w:br w:type="textWrapping"/>
            </w:r>
            <w:r>
              <w:rPr>
                <w:rFonts w:hint="eastAsia" w:ascii="等线" w:hAnsi="等线" w:eastAsia="等线" w:cs="等线"/>
                <w:i w:val="0"/>
                <w:color w:val="000000"/>
                <w:kern w:val="0"/>
                <w:sz w:val="22"/>
                <w:szCs w:val="22"/>
                <w:u w:val="none"/>
                <w:bdr w:val="none" w:color="auto" w:sz="0" w:space="0"/>
                <w:lang w:val="en-US" w:eastAsia="zh-CN" w:bidi="ar"/>
              </w:rPr>
              <w:t>提供产品可追溯性管控系统说明；</w:t>
            </w:r>
            <w:r>
              <w:rPr>
                <w:rFonts w:hint="eastAsia" w:ascii="等线" w:hAnsi="等线" w:eastAsia="等线" w:cs="等线"/>
                <w:i w:val="0"/>
                <w:color w:val="000000"/>
                <w:kern w:val="0"/>
                <w:sz w:val="22"/>
                <w:szCs w:val="22"/>
                <w:u w:val="none"/>
                <w:bdr w:val="none" w:color="auto" w:sz="0" w:space="0"/>
                <w:lang w:val="en-US" w:eastAsia="zh-CN" w:bidi="ar"/>
              </w:rPr>
              <w:br w:type="textWrapping"/>
            </w:r>
            <w:r>
              <w:rPr>
                <w:rFonts w:hint="eastAsia" w:ascii="等线" w:hAnsi="等线" w:eastAsia="等线" w:cs="等线"/>
                <w:i w:val="0"/>
                <w:color w:val="000000"/>
                <w:kern w:val="0"/>
                <w:sz w:val="22"/>
                <w:szCs w:val="22"/>
                <w:u w:val="none"/>
                <w:bdr w:val="none" w:color="auto" w:sz="0" w:space="0"/>
                <w:lang w:val="en-US" w:eastAsia="zh-CN" w:bidi="ar"/>
              </w:rPr>
              <w:t>快速响应主机厂的质量反馈的机制及模式介绍</w:t>
            </w:r>
          </w:p>
        </w:tc>
      </w:tr>
      <w:tr>
        <w:tblPrEx>
          <w:shd w:val="clear"/>
          <w:tblLayout w:type="fixed"/>
          <w:tblCellMar>
            <w:top w:w="0" w:type="dxa"/>
            <w:left w:w="0" w:type="dxa"/>
            <w:bottom w:w="0" w:type="dxa"/>
            <w:right w:w="0" w:type="dxa"/>
          </w:tblCellMar>
        </w:tblPrEx>
        <w:trPr>
          <w:trHeight w:val="840" w:hRule="atLeast"/>
        </w:trPr>
        <w:tc>
          <w:tcPr>
            <w:tcW w:w="76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等线" w:hAnsi="等线" w:eastAsia="等线" w:cs="等线"/>
                <w:i w:val="0"/>
                <w:color w:val="000000"/>
                <w:sz w:val="22"/>
                <w:szCs w:val="22"/>
                <w:u w:val="none"/>
              </w:rPr>
            </w:pPr>
          </w:p>
        </w:tc>
        <w:tc>
          <w:tcPr>
            <w:tcW w:w="179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等线" w:hAnsi="等线" w:eastAsia="等线" w:cs="等线"/>
                <w:i w:val="0"/>
                <w:color w:val="000000"/>
                <w:sz w:val="22"/>
                <w:szCs w:val="22"/>
                <w:u w:val="none"/>
              </w:rPr>
            </w:pPr>
          </w:p>
        </w:tc>
        <w:tc>
          <w:tcPr>
            <w:tcW w:w="728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具备产品售后质量反馈信息的分析处理流程，并实施闭环管理，对金龙反馈的质量问题进行闭环管理，分析及制定整改措施反馈确认</w:t>
            </w:r>
          </w:p>
        </w:tc>
        <w:tc>
          <w:tcPr>
            <w:tcW w:w="5745"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等线" w:hAnsi="等线" w:eastAsia="等线" w:cs="等线"/>
                <w:i w:val="0"/>
                <w:color w:val="000000"/>
                <w:sz w:val="22"/>
                <w:szCs w:val="22"/>
                <w:u w:val="none"/>
              </w:rPr>
            </w:pPr>
          </w:p>
        </w:tc>
      </w:tr>
      <w:tr>
        <w:tblPrEx>
          <w:tblLayout w:type="fixed"/>
          <w:tblCellMar>
            <w:top w:w="0" w:type="dxa"/>
            <w:left w:w="0" w:type="dxa"/>
            <w:bottom w:w="0" w:type="dxa"/>
            <w:right w:w="0" w:type="dxa"/>
          </w:tblCellMar>
        </w:tblPrEx>
        <w:trPr>
          <w:trHeight w:val="570" w:hRule="atLeast"/>
        </w:trPr>
        <w:tc>
          <w:tcPr>
            <w:tcW w:w="76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7</w:t>
            </w:r>
          </w:p>
        </w:tc>
        <w:tc>
          <w:tcPr>
            <w:tcW w:w="179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质保要求</w:t>
            </w:r>
          </w:p>
        </w:tc>
        <w:tc>
          <w:tcPr>
            <w:tcW w:w="728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向金龙供货产品质量保证期为零部件装车运行后不低于三年；</w:t>
            </w:r>
            <w:r>
              <w:rPr>
                <w:rFonts w:hint="eastAsia" w:ascii="等线" w:hAnsi="等线" w:eastAsia="等线" w:cs="等线"/>
                <w:i w:val="0"/>
                <w:color w:val="000000"/>
                <w:kern w:val="0"/>
                <w:sz w:val="22"/>
                <w:szCs w:val="22"/>
                <w:u w:val="none"/>
                <w:bdr w:val="none" w:color="auto" w:sz="0" w:space="0"/>
                <w:lang w:val="en-US" w:eastAsia="zh-CN" w:bidi="ar"/>
              </w:rPr>
              <w:br w:type="textWrapping"/>
            </w:r>
            <w:r>
              <w:rPr>
                <w:rFonts w:hint="eastAsia" w:ascii="等线" w:hAnsi="等线" w:eastAsia="等线" w:cs="等线"/>
                <w:i w:val="0"/>
                <w:color w:val="000000"/>
                <w:kern w:val="0"/>
                <w:sz w:val="22"/>
                <w:szCs w:val="22"/>
                <w:u w:val="none"/>
                <w:bdr w:val="none" w:color="auto" w:sz="0" w:space="0"/>
                <w:lang w:val="en-US" w:eastAsia="zh-CN" w:bidi="ar"/>
              </w:rPr>
              <w:t>必须签订《供应商质量保障协议》</w:t>
            </w:r>
          </w:p>
        </w:tc>
        <w:tc>
          <w:tcPr>
            <w:tcW w:w="574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bdr w:val="none" w:color="auto" w:sz="0" w:space="0"/>
                <w:lang w:val="en-US" w:eastAsia="zh-CN" w:bidi="ar"/>
              </w:rPr>
              <w:t>提供标书合同附件的《供应商质量质保协议》-盖章</w:t>
            </w:r>
          </w:p>
        </w:tc>
      </w:tr>
    </w:tbl>
    <w:p/>
    <w:p>
      <w:pPr>
        <w:tabs>
          <w:tab w:val="left" w:pos="4481"/>
        </w:tabs>
        <w:bidi w:val="0"/>
        <w:jc w:val="left"/>
        <w:rPr>
          <w:rFonts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ab/>
      </w:r>
      <w:bookmarkStart w:id="0" w:name="_GoBack"/>
      <w:bookmarkEnd w:id="0"/>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11615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